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b/>
          <w:bCs/>
          <w:sz w:val="32"/>
          <w:szCs w:val="40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</w:rPr>
        <w:t>榆林市第二中学教案、作业检查办法（试行）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质量的提高是教学工作的核心工作，需要通过具体的工作促进落实；备课是教学准备的综合体现，学生作业是教学效果的检查、反馈有效途径。为进一步强化教学常规的管理，了解教师教案备写、作业的布置及批改情况，教务处特制定此办法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一、领导机构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组   长：王世英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副组长：刘东华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组   员：常林、张旭斌、武贺飞、霍军伟、田博、折应军、教研正、副主任、政教正、副主任、蹲组领导、学科骨干、学科名师、教研组长、备课组长、教务员。</w:t>
      </w:r>
    </w:p>
    <w:p>
      <w:pPr>
        <w:numPr>
          <w:ilvl w:val="0"/>
          <w:numId w:val="1"/>
        </w:num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分工安排：（详见附表一）</w:t>
      </w:r>
    </w:p>
    <w:p>
      <w:pPr>
        <w:numPr>
          <w:ilvl w:val="0"/>
          <w:numId w:val="1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（一）、教案规范要求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1.教案要在上课前一周内提前备写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每周星期一收缴上周教案。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2.总课时序号、教案页码连续。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3.一课内容如需两课时，在教学过程中必须体现第几课时。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4.装订：首页是封</w:t>
      </w:r>
      <w:r>
        <w:rPr>
          <w:rFonts w:hint="eastAsia"/>
          <w:sz w:val="28"/>
          <w:szCs w:val="28"/>
          <w:lang w:val="en-US" w:eastAsia="zh-CN"/>
        </w:rPr>
        <w:t>面</w:t>
      </w:r>
      <w:r>
        <w:rPr>
          <w:rFonts w:hint="eastAsia"/>
          <w:sz w:val="28"/>
          <w:szCs w:val="28"/>
        </w:rPr>
        <w:t>，其次是集体单元计划（定稿），再次是个人单元计划（二者要有区别），最后为本单元课时教案，统一左装订。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5.教案封</w:t>
      </w:r>
      <w:r>
        <w:rPr>
          <w:rFonts w:hint="eastAsia"/>
          <w:sz w:val="28"/>
          <w:szCs w:val="28"/>
          <w:lang w:val="en-US" w:eastAsia="zh-CN"/>
        </w:rPr>
        <w:t>面</w:t>
      </w:r>
      <w:r>
        <w:rPr>
          <w:rFonts w:hint="eastAsia"/>
          <w:sz w:val="28"/>
          <w:szCs w:val="28"/>
        </w:rPr>
        <w:t>填写：姓名、年级（高一、高二、高三）、</w:t>
      </w:r>
      <w:r>
        <w:rPr>
          <w:rFonts w:hint="eastAsia"/>
          <w:sz w:val="28"/>
          <w:szCs w:val="28"/>
          <w:lang w:val="en-US" w:eastAsia="zh-CN"/>
        </w:rPr>
        <w:t>班级（如1、2）、</w:t>
      </w:r>
      <w:r>
        <w:rPr>
          <w:rFonts w:hint="eastAsia"/>
          <w:sz w:val="28"/>
          <w:szCs w:val="28"/>
        </w:rPr>
        <w:t>科目：语、数、外、政、史、地、理、化、生、体等、周次填写上周周次（阿拉伯数字填写</w:t>
      </w:r>
      <w:r>
        <w:rPr>
          <w:rFonts w:hint="eastAsia"/>
          <w:sz w:val="28"/>
          <w:szCs w:val="28"/>
          <w:lang w:val="en-US" w:eastAsia="zh-CN"/>
        </w:rPr>
        <w:t>2、3</w:t>
      </w:r>
      <w:r>
        <w:rPr>
          <w:rFonts w:hint="eastAsia"/>
          <w:sz w:val="28"/>
          <w:szCs w:val="28"/>
        </w:rPr>
        <w:t>）。课时填写上交周次教案的总课时（阿拉伯数字填写，如：上周课时为4课时，填写4即可）。同一备课组周次相同，课时基本一致。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（二）、教案备写要求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.教师要备写教案认真，书写漂亮，设计美观，充分发挥备课组集体备课作用的基础上认真备写个人教案，要注重备写的实用性和有效性。教师要认真研读课标，深入钻研教材，把握重难点，从学生实际出发，整合教学内容，选择有效的教学方式，精心设计教学过程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2.各学科备课必须提前1—3课时进行，杜绝过度超前备课和滞后“备课”，严禁以抄袭教案代替备课行为，严禁无教案上课。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3.教学目标要明确。从学科目标及学段目标出发，结合学生实际，确立知识与技能，过程与方法，情感、态度与价值观三维一体的目标体系。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4.重点、难点要准确。从确立的目标出发，结合教学内容，根据学生的实际，准确把握重点、难点。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5.课时安排要合理。要依据学科性质和内容确定课时，以课或章节整体设计，分课时备写，每个教案备写课时不超2课时。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6.设计理念要先进。备课要体现尊重差异的理念；体现生活化的理念；体现课程资源整合的理念；体现教学方式与学习方式转变的新课改理念。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7.教学过程要有效。教学过程是教案的核心部分，教师在设计教学过程时要教学环节完整。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（1）导入设计。教师要通过适当内容或简短语言，把学生尽快有效地引入问题情境，激发学生的学习兴趣和求知欲望。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（2）问题设计。问题的设计要具体、明确、适宜；要有条理性、启发性、层次性、探究性；要有一定的思考价值和思维广度，要能恰当应对课堂生成。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（3）预设目标。预设目标即学习某一子目时学生应达到的目标状态，教师要根据教学实际精心设计预设目标。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（4）教法学法。教师要根据教学的具体内容及学生的实际，确定不同子目的不同教法与学法。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（5）小结设计。小结要对所学知识及获取知识的方法、途径进行归纳总结，对课堂教学进行强化和拓展，把课堂结束的“句号”变成“问号”。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（6）练习设计。要根据具体教学内容合理安排练习，练习设计要有层次、有梯度，要面向全体学生。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8.板书设计要精美。突出学科特点，充分体现教学重点，知识网络和活动主线，做到巧妙、精炼、合理、美观。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9.作业设置要多样。各学科可依据本学科特点设计书面、口头或实践等作业，明确作业的目的性，加强作业的巩固性，把握作业的层次性，讲究作业的科学性，追求作业的趣味性。杜绝机械性、重复性的大量抄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10.教学反思要及时。教学反思要有学生作业情况的反馈，要结合教学理论对自己教学过程中的得失做细致、理性的分析。不刻意要求篇幅，但注重教学反思的质量，避免应付式的空话、套话。应根据具体的教学内容和实际情况，言之有物，记写及时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（三）、作业要求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布置作业做到精心设计，要求明确，布置清楚。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各科编写作业时要依据课程标准、教材要求、学生实际、学科特点、教学内容等精心编订，要落实精选、精练、精讲、精评的作业原则。面向全体，分层布置，难易适中，搭配合理。严禁作业机械性重复、超时超量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作业形式要从课外学习和课内学习的不同特点出发，拓展学生的学习空间，为学生加强课堂与社会、生活的联系，丰富学生的个性。书面作业、口头作业、操作作业、课外阅读灯要相得益彰，充分体现作业形式的多样化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各科学期作业总量要求，语文：高一、高二不少于25次，作文不少于8篇；数学：高一、高二不少于50次；英语：高一、高二不少于30次，英语小作文不少于8篇；理、化：高一、高二不少于30次；生物：高一、高二不少于20次；政、史、地：高一、高二不少于15次；高一、高二美术、信息不少于4次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增强作业批改的实效性。学生课内作业要做到不漏批、不拖批、不马虎、不随意，不打半对，有布置必收，有收必批，有批必评，有错必纠。教师要按时收交作业，及时批改。对作业中反映出来的共性问题要及时订正，帮助学生分析错因，个性问题要个别辅导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学生每次作业要有布置时间和次数、题数、题号，学生不得在作业中使用修正液或修正带，不得使用高考规定的0.5mm黑色签字笔以外的笔书写作业，对未能及时完成作业的学生，要限期补交，坚决杜绝作业抄袭行为，确保良好的学风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教师要对学生的作业批改要有批改日期、等级评价和激励性语言，等级评价统一使用“A、B、C”符号。批语要有针对性，注重赏识与激励，书写要工整、规范、准确，对学生有示范性和指导性。对优秀作业要予以表扬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7、严禁作业让学生或家长代批改，严禁教师在作业中书写讽刺、挖苦、侮辱学生的语言。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四、检查安排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教务处约每四或五周对任课教师的教案、作业组织一次检查，每学期检查不少于四次，具体在期中前约安排两次检查，期中后安排两次检查。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检查时间：</w:t>
      </w:r>
      <w:r>
        <w:rPr>
          <w:rFonts w:hint="eastAsia"/>
          <w:sz w:val="28"/>
          <w:szCs w:val="28"/>
          <w:lang w:val="en-US" w:eastAsia="zh-CN"/>
        </w:rPr>
        <w:t>检查周</w:t>
      </w:r>
      <w:r>
        <w:rPr>
          <w:rFonts w:hint="eastAsia"/>
          <w:sz w:val="28"/>
          <w:szCs w:val="28"/>
        </w:rPr>
        <w:t>星期三第七节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反馈时间：检查周</w:t>
      </w:r>
      <w:r>
        <w:rPr>
          <w:rFonts w:hint="eastAsia"/>
          <w:sz w:val="28"/>
          <w:szCs w:val="28"/>
        </w:rPr>
        <w:t>星期三第</w:t>
      </w:r>
      <w:r>
        <w:rPr>
          <w:rFonts w:hint="eastAsia"/>
          <w:sz w:val="28"/>
          <w:szCs w:val="28"/>
          <w:lang w:val="en-US" w:eastAsia="zh-CN"/>
        </w:rPr>
        <w:t>八</w:t>
      </w:r>
      <w:r>
        <w:rPr>
          <w:rFonts w:hint="eastAsia"/>
          <w:sz w:val="28"/>
          <w:szCs w:val="28"/>
        </w:rPr>
        <w:t>节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请教研组长提前通知组员参会</w:t>
      </w:r>
      <w:r>
        <w:rPr>
          <w:rFonts w:hint="eastAsia"/>
          <w:sz w:val="28"/>
          <w:szCs w:val="28"/>
          <w:lang w:eastAsia="zh-CN"/>
        </w:rPr>
        <w:t>）。</w:t>
      </w:r>
    </w:p>
    <w:p>
      <w:pPr>
        <w:numPr>
          <w:ilvl w:val="0"/>
          <w:numId w:val="0"/>
        </w:num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检查地点：行政楼</w:t>
      </w:r>
      <w:r>
        <w:rPr>
          <w:rFonts w:hint="eastAsia"/>
          <w:sz w:val="28"/>
          <w:szCs w:val="28"/>
          <w:lang w:val="en-US" w:eastAsia="zh-CN"/>
        </w:rPr>
        <w:t>一楼</w:t>
      </w:r>
      <w:r>
        <w:rPr>
          <w:rFonts w:hint="eastAsia"/>
          <w:sz w:val="28"/>
          <w:szCs w:val="28"/>
        </w:rPr>
        <w:t>中会议室</w:t>
      </w:r>
      <w:r>
        <w:rPr>
          <w:rFonts w:hint="eastAsia"/>
          <w:sz w:val="28"/>
          <w:szCs w:val="28"/>
          <w:lang w:val="en-US" w:eastAsia="zh-CN"/>
        </w:rPr>
        <w:t>和二楼中会议室（音、体、美、信）</w:t>
      </w:r>
    </w:p>
    <w:p>
      <w:pPr>
        <w:numPr>
          <w:ilvl w:val="0"/>
          <w:numId w:val="0"/>
        </w:num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五、检查程序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1、由教务处负责在校周安排表中安排具体检查周次。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val="en-US" w:eastAsia="zh-CN"/>
        </w:rPr>
        <w:t>教务主任</w:t>
      </w:r>
      <w:r>
        <w:rPr>
          <w:rFonts w:hint="eastAsia"/>
          <w:sz w:val="28"/>
          <w:szCs w:val="28"/>
        </w:rPr>
        <w:t>督促教务员指定被检查教师所带班级中随机抽查一个班的作业，教务员将教案检查表中教师姓名、被检查班级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学生人数等信息填入汇总表，将教案、检查汇总表和放置作业标识牌统一放到指定地点。</w:t>
      </w:r>
    </w:p>
    <w:p>
      <w:pPr>
        <w:numPr>
          <w:ilvl w:val="0"/>
          <w:numId w:val="0"/>
        </w:num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3、涉及各学科检查组长组织，执行组长具体负责检查，检查组组员具体落实。</w:t>
      </w:r>
      <w:r>
        <w:rPr>
          <w:rFonts w:hint="eastAsia"/>
          <w:sz w:val="28"/>
          <w:szCs w:val="28"/>
          <w:lang w:val="en-US" w:eastAsia="zh-CN"/>
        </w:rPr>
        <w:t>请于检查星期三下午课间操（眼保健操）后速到行政楼一楼中会议室集合，按照要求进行检查。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4、检查组组员认真查阅教案、作业，根据教案备写情况比对设置检查项目以扣分进行量化，对作业检查情况进行详细记录，根据记录情况，学科内比较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合议</w:t>
      </w:r>
      <w:r>
        <w:rPr>
          <w:rFonts w:hint="eastAsia"/>
          <w:sz w:val="28"/>
          <w:szCs w:val="28"/>
        </w:rPr>
        <w:t>进行量化评分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打分表见检查表格，作业满分100分，教案满分100分+特色20分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</w:rPr>
        <w:t>检查完后将检查记录交教务处存档，以备学期末考核并评选优秀教案和作业。</w:t>
      </w:r>
    </w:p>
    <w:p>
      <w:pPr>
        <w:numPr>
          <w:ilvl w:val="0"/>
          <w:numId w:val="0"/>
        </w:num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5、执行组长负责点评、反馈、指导作业布置及批改和教案备写优劣，教研组内组员根据自己实际情况发扬优点，整改不足。</w:t>
      </w:r>
      <w:r>
        <w:rPr>
          <w:rFonts w:hint="eastAsia"/>
          <w:sz w:val="28"/>
          <w:szCs w:val="28"/>
          <w:lang w:val="en-US" w:eastAsia="zh-CN"/>
        </w:rPr>
        <w:t>反馈地点安排如下：</w:t>
      </w:r>
    </w:p>
    <w:tbl>
      <w:tblPr>
        <w:tblStyle w:val="3"/>
        <w:tblpPr w:leftFromText="180" w:rightFromText="180" w:vertAnchor="text" w:horzAnchor="page" w:tblpX="3034" w:tblpY="191"/>
        <w:tblOverlap w:val="never"/>
        <w:tblW w:w="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</w:t>
            </w:r>
          </w:p>
        </w:tc>
        <w:tc>
          <w:tcPr>
            <w:tcW w:w="3071" w:type="dxa"/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反馈地点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语文组</w:t>
            </w:r>
          </w:p>
        </w:tc>
        <w:tc>
          <w:tcPr>
            <w:tcW w:w="3071" w:type="dxa"/>
            <w:vAlign w:val="center"/>
          </w:tcPr>
          <w:p>
            <w:pPr>
              <w:ind w:firstLine="44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行政楼一楼中会议室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数学组</w:t>
            </w:r>
          </w:p>
        </w:tc>
        <w:tc>
          <w:tcPr>
            <w:tcW w:w="3071" w:type="dxa"/>
            <w:vAlign w:val="center"/>
          </w:tcPr>
          <w:p>
            <w:pPr>
              <w:ind w:firstLine="660" w:firstLineChars="3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B、C楼四楼连廊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英语组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660" w:firstLineChars="3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A、B楼四楼连廊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化学组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A、B楼二楼连廊左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政治组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40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B、C</w:t>
            </w:r>
            <w:r>
              <w:rPr>
                <w:rFonts w:hint="eastAsia"/>
                <w:sz w:val="22"/>
                <w:szCs w:val="22"/>
              </w:rPr>
              <w:t>楼二楼连廊右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物理组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44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A、B楼二楼连廊右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地理组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40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B、C</w:t>
            </w:r>
            <w:r>
              <w:rPr>
                <w:rFonts w:hint="eastAsia"/>
                <w:sz w:val="22"/>
                <w:szCs w:val="22"/>
              </w:rPr>
              <w:t>楼二楼连廊左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历史组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44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A、B楼三楼连廊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ind w:firstLine="420" w:firstLineChars="200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生物组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44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B、C楼三楼连廊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音、美、体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40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艺术楼一楼音乐教室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</w:t>
            </w:r>
          </w:p>
        </w:tc>
        <w:tc>
          <w:tcPr>
            <w:tcW w:w="3071" w:type="dxa"/>
            <w:shd w:val="clear" w:color="auto" w:fill="auto"/>
            <w:vAlign w:val="center"/>
          </w:tcPr>
          <w:p>
            <w:pPr>
              <w:ind w:firstLine="440" w:firstLineChars="20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教务处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0"/>
        </w:num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教务员在各教研组反馈时</w:t>
      </w:r>
      <w:r>
        <w:rPr>
          <w:rFonts w:hint="eastAsia"/>
          <w:sz w:val="28"/>
          <w:szCs w:val="28"/>
          <w:lang w:val="en-US" w:eastAsia="zh-CN"/>
        </w:rPr>
        <w:t>及时</w:t>
      </w:r>
      <w:r>
        <w:rPr>
          <w:rFonts w:hint="eastAsia"/>
          <w:sz w:val="28"/>
          <w:szCs w:val="28"/>
        </w:rPr>
        <w:t>进行拍照上传，由李旭进行校园网站报道。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教务处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2019年3月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附表一：</w:t>
      </w:r>
    </w:p>
    <w:tbl>
      <w:tblPr>
        <w:tblStyle w:val="3"/>
        <w:tblW w:w="7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28"/>
        <w:gridCol w:w="729"/>
        <w:gridCol w:w="1006"/>
        <w:gridCol w:w="933"/>
        <w:gridCol w:w="259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督查</w:t>
            </w:r>
          </w:p>
        </w:tc>
        <w:tc>
          <w:tcPr>
            <w:tcW w:w="728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巡查</w:t>
            </w: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检查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组长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ind w:firstLine="630" w:firstLineChars="3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组员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29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王</w:t>
            </w: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世</w:t>
            </w: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英</w:t>
            </w:r>
          </w:p>
        </w:tc>
        <w:tc>
          <w:tcPr>
            <w:tcW w:w="728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刘</w:t>
            </w: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东</w:t>
            </w: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ind w:firstLine="422" w:firstLineChars="200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12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华</w:t>
            </w: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语文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田博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王霞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白治国、</w:t>
            </w:r>
            <w:r>
              <w:rPr>
                <w:rFonts w:hint="eastAsia"/>
                <w:sz w:val="20"/>
                <w:szCs w:val="20"/>
              </w:rPr>
              <w:t>常莉、席东芝、</w:t>
            </w:r>
          </w:p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康洁云、谢红霞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田博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折红红</w:t>
            </w:r>
          </w:p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朱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武贺飞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陈竹林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薛锦山、高旺旺、</w:t>
            </w:r>
          </w:p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秦振瑜、余小英、</w:t>
            </w:r>
          </w:p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慕鹏程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柳鉑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白世强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蔡海燕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李国、马小梅、常韦玲、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高雪梅、张志荣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霍军伟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张玉玉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葛仙波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霍世平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霍世平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张艳、石阳、王彦方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霍军伟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张玉玉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葛仙波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赵维兵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崔芮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杜秋菊、王晓燕、</w:t>
            </w:r>
          </w:p>
          <w:p>
            <w:pPr>
              <w:spacing w:line="120" w:lineRule="auto"/>
              <w:ind w:firstLine="40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王巧梅、王军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田博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折红红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朱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李小娟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何宁、陈飞、李桂显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柳鉑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张佑平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赵妮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唐刚、罗沛、王力飞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田博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折红红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朱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历史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常林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班宏飞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谢小梅、武寅合、</w:t>
            </w:r>
          </w:p>
          <w:p>
            <w:pPr>
              <w:spacing w:line="120" w:lineRule="auto"/>
              <w:ind w:firstLine="40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米艳、常雪雪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柳鉑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地理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李恒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黄鹏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李增红、杨章月、</w:t>
            </w:r>
          </w:p>
          <w:p>
            <w:pPr>
              <w:spacing w:line="120" w:lineRule="auto"/>
              <w:ind w:firstLine="40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高贵荣、石真武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霍军伟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张玉玉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葛仙波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王万龙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王胜阳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高浩元、宋盼盼、</w:t>
            </w:r>
          </w:p>
          <w:p>
            <w:pPr>
              <w:spacing w:line="120" w:lineRule="auto"/>
              <w:ind w:firstLine="40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刘思佳、童丹丹、</w:t>
            </w:r>
          </w:p>
          <w:p>
            <w:pPr>
              <w:spacing w:line="120" w:lineRule="auto"/>
              <w:ind w:firstLine="40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李欣然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折应军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苏梅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美术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王万龙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郝军军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万朝霞</w:t>
            </w:r>
          </w:p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冉小伟、王雪雪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霍军伟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苏梅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育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王万龙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秦希飞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闫冠英、杨明、刘磊、王鹏</w:t>
            </w: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田博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苏梅</w:t>
            </w:r>
          </w:p>
          <w:p>
            <w:pPr>
              <w:spacing w:line="1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spacing w:line="120" w:lineRule="auto"/>
              <w:ind w:firstLine="420" w:firstLineChars="200"/>
              <w:jc w:val="center"/>
              <w:rPr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1006" w:type="dxa"/>
            <w:vAlign w:val="center"/>
          </w:tcPr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张旭斌</w:t>
            </w:r>
          </w:p>
        </w:tc>
        <w:tc>
          <w:tcPr>
            <w:tcW w:w="933" w:type="dxa"/>
            <w:vAlign w:val="center"/>
          </w:tcPr>
          <w:p>
            <w:pPr>
              <w:spacing w:line="12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柳鉑</w:t>
            </w:r>
          </w:p>
        </w:tc>
        <w:tc>
          <w:tcPr>
            <w:tcW w:w="2594" w:type="dxa"/>
            <w:vAlign w:val="center"/>
          </w:tcPr>
          <w:p>
            <w:pPr>
              <w:spacing w:line="120" w:lineRule="auto"/>
              <w:ind w:firstLine="400" w:firstLineChars="20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120" w:lineRule="auto"/>
              <w:ind w:firstLine="400" w:firstLineChars="200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苏梅</w:t>
            </w:r>
          </w:p>
          <w:p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12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柳鉑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苏梅</w:t>
            </w:r>
          </w:p>
          <w:p>
            <w:pPr>
              <w:spacing w:line="120" w:lineRule="auto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样板：</w:t>
      </w:r>
    </w:p>
    <w:p>
      <w:pPr>
        <w:rPr>
          <w:sz w:val="28"/>
          <w:szCs w:val="28"/>
        </w:rPr>
      </w:pPr>
    </w:p>
    <w:p>
      <w:pPr>
        <w:jc w:val="center"/>
        <w:rPr>
          <w:rFonts w:hint="eastAsia"/>
          <w:sz w:val="56"/>
          <w:szCs w:val="56"/>
          <w:lang w:val="en-US" w:eastAsia="zh-CN"/>
        </w:rPr>
      </w:pPr>
      <w:r>
        <w:rPr>
          <w:rFonts w:hint="eastAsia"/>
          <w:sz w:val="56"/>
          <w:szCs w:val="56"/>
          <w:lang w:val="en-US" w:eastAsia="zh-CN"/>
        </w:rPr>
        <w:t>榆 林 市 第 二 中 学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任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课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教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师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教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案</w:t>
      </w:r>
    </w:p>
    <w:p>
      <w:pPr>
        <w:jc w:val="left"/>
        <w:rPr>
          <w:rFonts w:hint="eastAsia"/>
          <w:sz w:val="44"/>
          <w:szCs w:val="44"/>
          <w:lang w:val="en-US" w:eastAsia="zh-CN"/>
        </w:rPr>
      </w:pPr>
    </w:p>
    <w:p>
      <w:pPr>
        <w:jc w:val="left"/>
        <w:rPr>
          <w:rFonts w:hint="eastAsia"/>
          <w:sz w:val="44"/>
          <w:szCs w:val="44"/>
          <w:u w:val="none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姓名：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张三  </w:t>
      </w:r>
      <w:r>
        <w:rPr>
          <w:rFonts w:hint="eastAsia"/>
          <w:sz w:val="44"/>
          <w:szCs w:val="44"/>
          <w:u w:val="none"/>
          <w:lang w:val="en-US" w:eastAsia="zh-CN"/>
        </w:rPr>
        <w:t xml:space="preserve">        科目：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语文 </w:t>
      </w:r>
    </w:p>
    <w:p>
      <w:pPr>
        <w:jc w:val="left"/>
        <w:rPr>
          <w:rFonts w:hint="eastAsia"/>
          <w:sz w:val="44"/>
          <w:szCs w:val="44"/>
          <w:u w:val="none"/>
          <w:lang w:val="en-US" w:eastAsia="zh-CN"/>
        </w:rPr>
      </w:pPr>
    </w:p>
    <w:p>
      <w:pPr>
        <w:jc w:val="left"/>
        <w:rPr>
          <w:rFonts w:hint="eastAsia"/>
          <w:sz w:val="44"/>
          <w:szCs w:val="44"/>
          <w:u w:val="singl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>年级：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高一  </w:t>
      </w:r>
      <w:r>
        <w:rPr>
          <w:rFonts w:hint="eastAsia"/>
          <w:sz w:val="44"/>
          <w:szCs w:val="44"/>
          <w:u w:val="none"/>
          <w:lang w:val="en-US" w:eastAsia="zh-CN"/>
        </w:rPr>
        <w:t xml:space="preserve">        班级：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2、10 </w:t>
      </w:r>
    </w:p>
    <w:p>
      <w:pPr>
        <w:jc w:val="left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left"/>
        <w:rPr>
          <w:rFonts w:hint="default"/>
          <w:sz w:val="44"/>
          <w:szCs w:val="44"/>
          <w:u w:val="single"/>
          <w:lang w:val="en-US" w:eastAsia="zh-CN"/>
        </w:rPr>
      </w:pPr>
      <w:r>
        <w:rPr>
          <w:rFonts w:hint="eastAsia"/>
          <w:sz w:val="44"/>
          <w:szCs w:val="44"/>
          <w:u w:val="none"/>
          <w:lang w:val="en-US" w:eastAsia="zh-CN"/>
        </w:rPr>
        <w:t>周次：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3   </w:t>
      </w:r>
      <w:r>
        <w:rPr>
          <w:rFonts w:hint="eastAsia"/>
          <w:sz w:val="44"/>
          <w:szCs w:val="44"/>
          <w:u w:val="none"/>
          <w:lang w:val="en-US" w:eastAsia="zh-CN"/>
        </w:rPr>
        <w:t xml:space="preserve">        课时：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4   </w:t>
      </w:r>
    </w:p>
    <w:sectPr>
      <w:pgSz w:w="11906" w:h="16838"/>
      <w:pgMar w:top="1440" w:right="157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2A381F"/>
    <w:multiLevelType w:val="singleLevel"/>
    <w:tmpl w:val="E32A381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3B00EDF"/>
    <w:multiLevelType w:val="singleLevel"/>
    <w:tmpl w:val="33B00E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A037D"/>
    <w:rsid w:val="0027361E"/>
    <w:rsid w:val="00800951"/>
    <w:rsid w:val="00B32D9F"/>
    <w:rsid w:val="00DF66A2"/>
    <w:rsid w:val="0659329B"/>
    <w:rsid w:val="06A71FA8"/>
    <w:rsid w:val="06FB4C86"/>
    <w:rsid w:val="0DA64B0D"/>
    <w:rsid w:val="10EE63C8"/>
    <w:rsid w:val="134761ED"/>
    <w:rsid w:val="15973D61"/>
    <w:rsid w:val="17D377DA"/>
    <w:rsid w:val="192C0216"/>
    <w:rsid w:val="1CF15591"/>
    <w:rsid w:val="1D884C9A"/>
    <w:rsid w:val="221B340C"/>
    <w:rsid w:val="23A85FBE"/>
    <w:rsid w:val="24596021"/>
    <w:rsid w:val="26806115"/>
    <w:rsid w:val="26C91A56"/>
    <w:rsid w:val="27A548DA"/>
    <w:rsid w:val="2B6A2444"/>
    <w:rsid w:val="2EDA01A1"/>
    <w:rsid w:val="2EEB0623"/>
    <w:rsid w:val="3093759F"/>
    <w:rsid w:val="31290EC1"/>
    <w:rsid w:val="32995ADD"/>
    <w:rsid w:val="33B71A8B"/>
    <w:rsid w:val="39287D4A"/>
    <w:rsid w:val="3C2D65A9"/>
    <w:rsid w:val="3C330C5D"/>
    <w:rsid w:val="3DFD5C4C"/>
    <w:rsid w:val="3E55796F"/>
    <w:rsid w:val="3E802802"/>
    <w:rsid w:val="400D01B1"/>
    <w:rsid w:val="40F84FE7"/>
    <w:rsid w:val="40FF75DC"/>
    <w:rsid w:val="417A7050"/>
    <w:rsid w:val="437023CD"/>
    <w:rsid w:val="459A037D"/>
    <w:rsid w:val="46755EB5"/>
    <w:rsid w:val="499F44B9"/>
    <w:rsid w:val="49E10B79"/>
    <w:rsid w:val="49E43AB8"/>
    <w:rsid w:val="4AB80A73"/>
    <w:rsid w:val="4AD95DCE"/>
    <w:rsid w:val="4AFE44ED"/>
    <w:rsid w:val="4BD01651"/>
    <w:rsid w:val="4C4771B1"/>
    <w:rsid w:val="4D364456"/>
    <w:rsid w:val="4EBD5A78"/>
    <w:rsid w:val="503C5B5D"/>
    <w:rsid w:val="520955D2"/>
    <w:rsid w:val="52D47D74"/>
    <w:rsid w:val="5304546C"/>
    <w:rsid w:val="53661B6C"/>
    <w:rsid w:val="53973F11"/>
    <w:rsid w:val="53A53F81"/>
    <w:rsid w:val="548C118C"/>
    <w:rsid w:val="559C7C1F"/>
    <w:rsid w:val="58627390"/>
    <w:rsid w:val="5B197454"/>
    <w:rsid w:val="5C2C7AB1"/>
    <w:rsid w:val="5D0457BF"/>
    <w:rsid w:val="5D895809"/>
    <w:rsid w:val="5F733CC2"/>
    <w:rsid w:val="61A65E2C"/>
    <w:rsid w:val="627C5BAE"/>
    <w:rsid w:val="635616B5"/>
    <w:rsid w:val="66F77893"/>
    <w:rsid w:val="68246742"/>
    <w:rsid w:val="6B10276B"/>
    <w:rsid w:val="6CA75101"/>
    <w:rsid w:val="6CCF18AF"/>
    <w:rsid w:val="73787EAA"/>
    <w:rsid w:val="73A769E7"/>
    <w:rsid w:val="73F263FE"/>
    <w:rsid w:val="74264AA4"/>
    <w:rsid w:val="75BB48DA"/>
    <w:rsid w:val="76F856FB"/>
    <w:rsid w:val="779D1364"/>
    <w:rsid w:val="7A8811B0"/>
    <w:rsid w:val="7B1F284B"/>
    <w:rsid w:val="7E7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527</Words>
  <Characters>3005</Characters>
  <Lines>25</Lines>
  <Paragraphs>7</Paragraphs>
  <TotalTime>14</TotalTime>
  <ScaleCrop>false</ScaleCrop>
  <LinksUpToDate>false</LinksUpToDate>
  <CharactersWithSpaces>3525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2019-01-24T00:45:00Z</dcterms:created>
  <dc:creator>Administrator</dc:creator>
  <cp:lastModifiedBy>Administrator</cp:lastModifiedBy>
  <cp:lastPrinted>2019-03-18T00:05:00Z</cp:lastPrinted>
  <dcterms:modified xsi:type="dcterms:W3CDTF">2019-03-21T08:10:39Z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